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F0692" w14:textId="16937CD4" w:rsidR="00F44C1A" w:rsidRPr="008446C0" w:rsidRDefault="008446C0" w:rsidP="0038350C">
      <w:pPr>
        <w:spacing w:after="0" w:line="240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8446C0">
        <w:rPr>
          <w:rFonts w:cs="Calibri"/>
          <w:b/>
          <w:bCs/>
          <w:color w:val="000000" w:themeColor="text1"/>
          <w:sz w:val="24"/>
          <w:szCs w:val="24"/>
        </w:rPr>
        <w:t>Ghana</w:t>
      </w:r>
      <w:r w:rsidR="00A01901">
        <w:rPr>
          <w:rFonts w:cs="Calibri"/>
          <w:b/>
          <w:bCs/>
          <w:color w:val="000000" w:themeColor="text1"/>
          <w:sz w:val="24"/>
          <w:szCs w:val="24"/>
        </w:rPr>
        <w:t xml:space="preserve"> (Q</w:t>
      </w:r>
      <w:r w:rsidR="003A41CD">
        <w:rPr>
          <w:rFonts w:cs="Calibri"/>
          <w:b/>
          <w:bCs/>
          <w:color w:val="000000" w:themeColor="text1"/>
          <w:sz w:val="24"/>
          <w:szCs w:val="24"/>
        </w:rPr>
        <w:t>1</w:t>
      </w:r>
      <w:r w:rsidR="00A01901">
        <w:rPr>
          <w:rFonts w:cs="Calibri"/>
          <w:b/>
          <w:bCs/>
          <w:color w:val="000000" w:themeColor="text1"/>
          <w:sz w:val="24"/>
          <w:szCs w:val="24"/>
        </w:rPr>
        <w:t xml:space="preserve"> – 201</w:t>
      </w:r>
      <w:r w:rsidR="003A41CD">
        <w:rPr>
          <w:rFonts w:cs="Calibri"/>
          <w:b/>
          <w:bCs/>
          <w:color w:val="000000" w:themeColor="text1"/>
          <w:sz w:val="24"/>
          <w:szCs w:val="24"/>
        </w:rPr>
        <w:t>6</w:t>
      </w:r>
      <w:r w:rsidR="00A01901">
        <w:rPr>
          <w:rFonts w:cs="Calibri"/>
          <w:b/>
          <w:bCs/>
          <w:color w:val="000000" w:themeColor="text1"/>
          <w:sz w:val="24"/>
          <w:szCs w:val="24"/>
        </w:rPr>
        <w:t>)</w:t>
      </w:r>
      <w:r w:rsidRPr="008446C0">
        <w:rPr>
          <w:rFonts w:cs="Calibri"/>
          <w:b/>
          <w:bCs/>
          <w:color w:val="000000" w:themeColor="text1"/>
          <w:sz w:val="24"/>
          <w:szCs w:val="24"/>
        </w:rPr>
        <w:t>:</w:t>
      </w:r>
    </w:p>
    <w:p w14:paraId="5E4EACE3" w14:textId="77777777" w:rsidR="008446C0" w:rsidRPr="006B19BD" w:rsidRDefault="008446C0" w:rsidP="0038350C">
      <w:pPr>
        <w:spacing w:after="0" w:line="240" w:lineRule="auto"/>
        <w:jc w:val="both"/>
        <w:rPr>
          <w:rFonts w:cs="Calibri"/>
          <w:bCs/>
          <w:color w:val="000000" w:themeColor="text1"/>
          <w:sz w:val="24"/>
          <w:szCs w:val="24"/>
        </w:rPr>
      </w:pPr>
    </w:p>
    <w:p w14:paraId="7DDA695D" w14:textId="3F09082D" w:rsidR="0038350C" w:rsidRPr="006B19BD" w:rsidRDefault="009D6EA4" w:rsidP="00230D81">
      <w:pPr>
        <w:keepNext/>
        <w:spacing w:after="0" w:line="240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6B19BD">
        <w:rPr>
          <w:rFonts w:cs="Calibri"/>
          <w:bCs/>
          <w:i/>
          <w:color w:val="000000" w:themeColor="text1"/>
          <w:sz w:val="24"/>
          <w:szCs w:val="24"/>
          <w:u w:val="single"/>
        </w:rPr>
        <w:t xml:space="preserve">Outcome1: Up to 2 financeable energy-related NAMAs formulated in the context of national development priorities, including the associated MRV </w:t>
      </w:r>
      <w:r w:rsidRPr="006B19BD">
        <w:rPr>
          <w:rFonts w:cs="Calibri"/>
          <w:i/>
          <w:color w:val="000000" w:themeColor="text1"/>
          <w:sz w:val="24"/>
          <w:szCs w:val="24"/>
          <w:u w:val="single"/>
        </w:rPr>
        <w:t>system</w:t>
      </w:r>
      <w:r w:rsidRPr="006B19BD">
        <w:rPr>
          <w:rFonts w:cs="Calibri"/>
          <w:bCs/>
          <w:color w:val="000000" w:themeColor="text1"/>
          <w:sz w:val="24"/>
          <w:szCs w:val="24"/>
        </w:rPr>
        <w:t xml:space="preserve"> </w:t>
      </w:r>
    </w:p>
    <w:p w14:paraId="1BFD1545" w14:textId="70A4CF3D" w:rsidR="00A3023B" w:rsidRDefault="00B40D4E" w:rsidP="00230D81">
      <w:pPr>
        <w:pStyle w:val="NoSpacing"/>
        <w:jc w:val="both"/>
      </w:pPr>
      <w:r>
        <w:t>The NAMA(s) for RE and cooking solutions ha</w:t>
      </w:r>
      <w:r w:rsidR="00230D81">
        <w:t>s</w:t>
      </w:r>
      <w:r>
        <w:t xml:space="preserve"> been completed</w:t>
      </w:r>
      <w:r w:rsidR="00A3023B">
        <w:t>.</w:t>
      </w:r>
      <w:r w:rsidR="0019069B">
        <w:t xml:space="preserve"> </w:t>
      </w:r>
      <w:r w:rsidR="00A3023B">
        <w:t xml:space="preserve">LECB will continue to support </w:t>
      </w:r>
      <w:r w:rsidR="005B0451">
        <w:t>sensitization of stakeholders on the NAMA developed in 2015.</w:t>
      </w:r>
    </w:p>
    <w:p w14:paraId="0F262F4B" w14:textId="77777777" w:rsidR="00A27132" w:rsidRDefault="00A27132" w:rsidP="00230D81">
      <w:pPr>
        <w:pStyle w:val="NoSpacing"/>
        <w:jc w:val="both"/>
      </w:pPr>
    </w:p>
    <w:p w14:paraId="2CACF12E" w14:textId="77777777" w:rsidR="009D6EA4" w:rsidRPr="006B19BD" w:rsidRDefault="009D6EA4" w:rsidP="00230D81">
      <w:pPr>
        <w:keepNext/>
        <w:spacing w:after="0" w:line="240" w:lineRule="auto"/>
        <w:jc w:val="both"/>
        <w:rPr>
          <w:rFonts w:cs="Calibri"/>
          <w:bCs/>
          <w:i/>
          <w:color w:val="000000" w:themeColor="text1"/>
          <w:sz w:val="24"/>
          <w:szCs w:val="24"/>
          <w:u w:val="single"/>
        </w:rPr>
      </w:pPr>
      <w:r w:rsidRPr="006B19BD">
        <w:rPr>
          <w:rFonts w:cs="Calibri"/>
          <w:bCs/>
          <w:i/>
          <w:color w:val="000000" w:themeColor="text1"/>
          <w:sz w:val="24"/>
          <w:szCs w:val="24"/>
          <w:u w:val="single"/>
        </w:rPr>
        <w:t>Outcome2: Ghana NAMAs Investor Guide reviewed and promoted among the business community</w:t>
      </w:r>
    </w:p>
    <w:p w14:paraId="7C1DF2D6" w14:textId="4ABFFC38" w:rsidR="00B85370" w:rsidRDefault="0055427C" w:rsidP="00230D81">
      <w:pPr>
        <w:pStyle w:val="NoSpacing"/>
        <w:jc w:val="both"/>
      </w:pPr>
      <w:r>
        <w:t xml:space="preserve">The NAMAs Investor Guide </w:t>
      </w:r>
      <w:r w:rsidR="00230D81">
        <w:t xml:space="preserve">was presented at COP21. </w:t>
      </w:r>
      <w:r w:rsidR="005B0451">
        <w:t>The Private Enterprise Federation of Ghana is being engaged to lead promotion activities of the Guide and sensitize the private sector on investment opportuniti</w:t>
      </w:r>
      <w:r w:rsidR="0019069B">
        <w:t>es in climate change mitigation.</w:t>
      </w:r>
    </w:p>
    <w:p w14:paraId="6CF97744" w14:textId="3FABCC03" w:rsidR="00174789" w:rsidRPr="006B19BD" w:rsidRDefault="00174789" w:rsidP="00230D81">
      <w:pPr>
        <w:pStyle w:val="NoSpacing"/>
        <w:jc w:val="both"/>
        <w:rPr>
          <w:rFonts w:cs="Calibri"/>
          <w:bCs/>
          <w:color w:val="000000" w:themeColor="text1"/>
          <w:sz w:val="24"/>
          <w:szCs w:val="24"/>
        </w:rPr>
      </w:pPr>
    </w:p>
    <w:p w14:paraId="39616D2F" w14:textId="77777777" w:rsidR="009D6EA4" w:rsidRPr="006B19BD" w:rsidRDefault="009D6EA4" w:rsidP="00230D81">
      <w:pPr>
        <w:keepNext/>
        <w:spacing w:after="0" w:line="240" w:lineRule="auto"/>
        <w:jc w:val="both"/>
        <w:rPr>
          <w:rFonts w:cs="Calibri"/>
          <w:bCs/>
          <w:color w:val="000000" w:themeColor="text1"/>
          <w:sz w:val="24"/>
          <w:szCs w:val="24"/>
        </w:rPr>
      </w:pPr>
      <w:r w:rsidRPr="006B19BD">
        <w:rPr>
          <w:rFonts w:cs="Calibri"/>
          <w:bCs/>
          <w:i/>
          <w:color w:val="000000" w:themeColor="text1"/>
          <w:sz w:val="24"/>
          <w:szCs w:val="24"/>
          <w:u w:val="single"/>
        </w:rPr>
        <w:t xml:space="preserve">Outcome3: National system for preparation of GHG inventories </w:t>
      </w:r>
      <w:r w:rsidRPr="006B19BD">
        <w:rPr>
          <w:rFonts w:cs="Calibri"/>
          <w:i/>
          <w:color w:val="000000" w:themeColor="text1"/>
          <w:sz w:val="24"/>
          <w:szCs w:val="24"/>
          <w:u w:val="single"/>
        </w:rPr>
        <w:t>strengthened</w:t>
      </w:r>
      <w:r w:rsidRPr="006B19BD">
        <w:rPr>
          <w:rFonts w:cs="Calibri"/>
          <w:bCs/>
          <w:color w:val="000000" w:themeColor="text1"/>
          <w:sz w:val="24"/>
          <w:szCs w:val="24"/>
        </w:rPr>
        <w:t xml:space="preserve"> </w:t>
      </w:r>
    </w:p>
    <w:p w14:paraId="670F125A" w14:textId="6EE264AA" w:rsidR="00A3023B" w:rsidRDefault="0055427C" w:rsidP="00230D81">
      <w:pPr>
        <w:pStyle w:val="NoSpacing"/>
        <w:jc w:val="both"/>
      </w:pPr>
      <w:r>
        <w:t xml:space="preserve"> The </w:t>
      </w:r>
      <w:r w:rsidRPr="0055427C">
        <w:t>Operational Manual for Greenhouse Gas Inventory</w:t>
      </w:r>
      <w:r>
        <w:t xml:space="preserve"> and the </w:t>
      </w:r>
      <w:r w:rsidRPr="0055427C">
        <w:t>GHG Quality Assurance and Control Plan</w:t>
      </w:r>
      <w:r>
        <w:t xml:space="preserve"> have been </w:t>
      </w:r>
      <w:r w:rsidR="00230D81">
        <w:t>completed</w:t>
      </w:r>
      <w:r>
        <w:t xml:space="preserve">. </w:t>
      </w:r>
      <w:r w:rsidR="00A3023B">
        <w:t>LECB will continue</w:t>
      </w:r>
      <w:r w:rsidR="00230D81">
        <w:t xml:space="preserve"> review progress of the ongoing reforms in toward sustainable management of the national system GHG inventory in order to identify areas of the reforms that need special attention. </w:t>
      </w:r>
      <w:r w:rsidR="005B0451">
        <w:t xml:space="preserve">LECB will </w:t>
      </w:r>
      <w:r w:rsidR="00F20385">
        <w:t>also continue to organize trainings on GHG inventories for sectoral institutions (public, private and academia).</w:t>
      </w:r>
    </w:p>
    <w:p w14:paraId="2CF596BB" w14:textId="77777777" w:rsidR="00290346" w:rsidRPr="00B85370" w:rsidRDefault="00290346" w:rsidP="00230D81">
      <w:pPr>
        <w:pStyle w:val="NoSpacing"/>
        <w:jc w:val="both"/>
      </w:pPr>
    </w:p>
    <w:p w14:paraId="3C51132E" w14:textId="77777777" w:rsidR="00230D81" w:rsidRDefault="00701914" w:rsidP="00230D81">
      <w:pPr>
        <w:spacing w:after="0" w:line="240" w:lineRule="auto"/>
        <w:jc w:val="both"/>
        <w:rPr>
          <w:rFonts w:cs="Arial"/>
          <w:i/>
          <w:color w:val="000000" w:themeColor="text1"/>
          <w:sz w:val="24"/>
          <w:szCs w:val="24"/>
          <w:u w:val="single"/>
        </w:rPr>
      </w:pPr>
      <w:r w:rsidRPr="006B19BD">
        <w:rPr>
          <w:rFonts w:cs="Arial"/>
          <w:i/>
          <w:color w:val="000000" w:themeColor="text1"/>
          <w:sz w:val="24"/>
          <w:szCs w:val="24"/>
          <w:u w:val="single"/>
        </w:rPr>
        <w:t xml:space="preserve">Output 4: National agenda for the setting of national emission ambition established </w:t>
      </w:r>
    </w:p>
    <w:p w14:paraId="00DAAE6B" w14:textId="23829D07" w:rsidR="00A3023B" w:rsidRDefault="00230D81" w:rsidP="0019069B">
      <w:pPr>
        <w:jc w:val="both"/>
      </w:pPr>
      <w:r>
        <w:t xml:space="preserve">After submitting its Intended Nationally Determined Contribution (INDC) to UNFCCC </w:t>
      </w:r>
      <w:r w:rsidR="003A41CD">
        <w:t xml:space="preserve">and participated in the </w:t>
      </w:r>
      <w:r>
        <w:t xml:space="preserve">COP21. </w:t>
      </w:r>
      <w:r w:rsidR="003A41CD">
        <w:t xml:space="preserve">LECB also </w:t>
      </w:r>
      <w:r w:rsidR="003A41CD" w:rsidRPr="003A41CD">
        <w:t>facilitated the organization of meetings to make preparations for the signing ceremony of the Paris Agreement in New York.</w:t>
      </w:r>
      <w:r w:rsidR="0019069B">
        <w:t xml:space="preserve"> LECB will continue to support the Government of Ghana to develop the NDC and an investment strategy for its implementation, as well as support the ratification process.</w:t>
      </w:r>
      <w:bookmarkStart w:id="0" w:name="_GoBack"/>
      <w:bookmarkEnd w:id="0"/>
    </w:p>
    <w:p w14:paraId="39269150" w14:textId="546B6D2B" w:rsidR="00BF71B0" w:rsidRDefault="00BF71B0" w:rsidP="00230D81">
      <w:pPr>
        <w:spacing w:after="0" w:line="240" w:lineRule="auto"/>
        <w:jc w:val="both"/>
      </w:pPr>
    </w:p>
    <w:p w14:paraId="64CEE9C3" w14:textId="77777777" w:rsidR="0019069B" w:rsidRDefault="0019069B" w:rsidP="00230D81">
      <w:pPr>
        <w:spacing w:after="0" w:line="240" w:lineRule="auto"/>
        <w:jc w:val="both"/>
      </w:pPr>
    </w:p>
    <w:p w14:paraId="70EABDF8" w14:textId="77777777" w:rsidR="0019069B" w:rsidRDefault="0019069B" w:rsidP="00230D81">
      <w:pPr>
        <w:spacing w:after="0" w:line="240" w:lineRule="auto"/>
        <w:jc w:val="both"/>
      </w:pPr>
    </w:p>
    <w:p w14:paraId="7886D504" w14:textId="77777777" w:rsidR="0019069B" w:rsidRDefault="0019069B" w:rsidP="00230D81">
      <w:pPr>
        <w:spacing w:after="0" w:line="240" w:lineRule="auto"/>
        <w:jc w:val="both"/>
      </w:pPr>
    </w:p>
    <w:p w14:paraId="67A6F974" w14:textId="77777777" w:rsidR="0019069B" w:rsidRDefault="0019069B" w:rsidP="00230D81">
      <w:pPr>
        <w:spacing w:after="0" w:line="240" w:lineRule="auto"/>
        <w:jc w:val="both"/>
      </w:pPr>
    </w:p>
    <w:p w14:paraId="0BBCD2DA" w14:textId="77777777" w:rsidR="0019069B" w:rsidRDefault="0019069B" w:rsidP="00230D81">
      <w:pPr>
        <w:spacing w:after="0" w:line="240" w:lineRule="auto"/>
        <w:jc w:val="both"/>
      </w:pPr>
    </w:p>
    <w:p w14:paraId="65F1A466" w14:textId="77777777" w:rsidR="0019069B" w:rsidRDefault="0019069B" w:rsidP="00230D81">
      <w:pPr>
        <w:spacing w:after="0" w:line="240" w:lineRule="auto"/>
        <w:jc w:val="both"/>
      </w:pPr>
    </w:p>
    <w:p w14:paraId="023CC788" w14:textId="77777777" w:rsidR="0019069B" w:rsidRDefault="0019069B" w:rsidP="00230D81">
      <w:pPr>
        <w:spacing w:after="0" w:line="240" w:lineRule="auto"/>
        <w:jc w:val="both"/>
      </w:pPr>
    </w:p>
    <w:p w14:paraId="70BF6426" w14:textId="77777777" w:rsidR="0019069B" w:rsidRDefault="0019069B" w:rsidP="00230D81">
      <w:pPr>
        <w:spacing w:after="0" w:line="240" w:lineRule="auto"/>
        <w:jc w:val="both"/>
      </w:pPr>
    </w:p>
    <w:p w14:paraId="79720B67" w14:textId="77777777" w:rsidR="0019069B" w:rsidRDefault="0019069B" w:rsidP="00230D81">
      <w:pPr>
        <w:spacing w:after="0" w:line="240" w:lineRule="auto"/>
        <w:jc w:val="both"/>
      </w:pPr>
    </w:p>
    <w:p w14:paraId="272C5A17" w14:textId="77777777" w:rsidR="0019069B" w:rsidRDefault="0019069B" w:rsidP="00230D81">
      <w:pPr>
        <w:spacing w:after="0" w:line="240" w:lineRule="auto"/>
        <w:jc w:val="both"/>
      </w:pPr>
    </w:p>
    <w:p w14:paraId="6B88FEF1" w14:textId="77777777" w:rsidR="0019069B" w:rsidRDefault="0019069B" w:rsidP="00230D81">
      <w:pPr>
        <w:spacing w:after="0" w:line="240" w:lineRule="auto"/>
        <w:jc w:val="both"/>
      </w:pPr>
    </w:p>
    <w:p w14:paraId="01A9548C" w14:textId="77777777" w:rsidR="0019069B" w:rsidRDefault="0019069B" w:rsidP="00230D81">
      <w:pPr>
        <w:spacing w:after="0" w:line="240" w:lineRule="auto"/>
        <w:jc w:val="both"/>
      </w:pPr>
    </w:p>
    <w:p w14:paraId="581D2F0A" w14:textId="77777777" w:rsidR="0019069B" w:rsidRDefault="0019069B" w:rsidP="00230D81">
      <w:pPr>
        <w:spacing w:after="0" w:line="240" w:lineRule="auto"/>
        <w:jc w:val="both"/>
      </w:pPr>
    </w:p>
    <w:p w14:paraId="72A2649A" w14:textId="77777777" w:rsidR="0019069B" w:rsidRPr="00230D81" w:rsidRDefault="0019069B" w:rsidP="00230D81">
      <w:pPr>
        <w:spacing w:after="0" w:line="240" w:lineRule="auto"/>
        <w:jc w:val="both"/>
        <w:rPr>
          <w:rFonts w:cs="Arial"/>
          <w:i/>
          <w:color w:val="000000" w:themeColor="text1"/>
          <w:sz w:val="24"/>
          <w:szCs w:val="24"/>
          <w:u w:val="single"/>
        </w:rPr>
      </w:pPr>
    </w:p>
    <w:p w14:paraId="0FC359F3" w14:textId="77777777" w:rsidR="00B40D4E" w:rsidRDefault="00B40D4E" w:rsidP="003612A4">
      <w:pPr>
        <w:pStyle w:val="NoSpacing"/>
        <w:spacing w:line="276" w:lineRule="auto"/>
        <w:jc w:val="both"/>
      </w:pPr>
    </w:p>
    <w:p w14:paraId="491CC87D" w14:textId="77777777" w:rsidR="00B40D4E" w:rsidRPr="006B19BD" w:rsidRDefault="00B40D4E" w:rsidP="003612A4">
      <w:pPr>
        <w:pStyle w:val="NoSpacing"/>
        <w:spacing w:line="276" w:lineRule="auto"/>
        <w:jc w:val="both"/>
      </w:pPr>
    </w:p>
    <w:p w14:paraId="3036EE57" w14:textId="77777777" w:rsidR="009D6EA4" w:rsidRPr="0038350C" w:rsidRDefault="009D6EA4" w:rsidP="009D6EA4">
      <w:pPr>
        <w:spacing w:after="0" w:line="240" w:lineRule="auto"/>
        <w:jc w:val="both"/>
        <w:rPr>
          <w:rFonts w:cs="Calibri"/>
          <w:bCs/>
          <w:color w:val="1F497D"/>
          <w:sz w:val="24"/>
          <w:szCs w:val="24"/>
        </w:rPr>
      </w:pPr>
    </w:p>
    <w:p w14:paraId="0FC8C9D9" w14:textId="77777777" w:rsidR="009D6EA4" w:rsidRPr="0038350C" w:rsidRDefault="00EB430D" w:rsidP="009D6EA4">
      <w:pPr>
        <w:spacing w:after="0" w:line="240" w:lineRule="auto"/>
        <w:jc w:val="both"/>
        <w:rPr>
          <w:rFonts w:cs="Calibri"/>
          <w:color w:val="1F497D"/>
          <w:sz w:val="24"/>
          <w:szCs w:val="24"/>
          <w:lang w:val="en-GB"/>
        </w:rPr>
      </w:pPr>
      <w:r w:rsidRPr="0038350C">
        <w:rPr>
          <w:noProof/>
          <w:sz w:val="24"/>
          <w:szCs w:val="24"/>
        </w:rPr>
        <w:drawing>
          <wp:inline distT="0" distB="0" distL="0" distR="0" wp14:anchorId="3AA0E051" wp14:editId="48CA62E2">
            <wp:extent cx="819303" cy="2923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28309" cy="29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50C">
        <w:rPr>
          <w:rFonts w:cs="Calibri"/>
          <w:color w:val="1F497D"/>
          <w:sz w:val="24"/>
          <w:szCs w:val="24"/>
          <w:lang w:val="en-GB"/>
        </w:rPr>
        <w:t xml:space="preserve">                                                       </w:t>
      </w:r>
      <w:r w:rsidRPr="0038350C">
        <w:rPr>
          <w:noProof/>
          <w:sz w:val="24"/>
          <w:szCs w:val="24"/>
        </w:rPr>
        <w:drawing>
          <wp:inline distT="0" distB="0" distL="0" distR="0" wp14:anchorId="174061AE" wp14:editId="1BF00111">
            <wp:extent cx="584784" cy="415008"/>
            <wp:effectExtent l="0" t="0" r="6350" b="4445"/>
            <wp:docPr id="3" name="Picture 3" descr="Afficher l'image en taille ré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Afficher l'image en taille réel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8" cy="42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50C">
        <w:rPr>
          <w:rFonts w:cs="Calibri"/>
          <w:color w:val="1F497D"/>
          <w:sz w:val="24"/>
          <w:szCs w:val="24"/>
          <w:lang w:val="en-GB"/>
        </w:rPr>
        <w:t xml:space="preserve">                                       </w:t>
      </w:r>
      <w:r w:rsidRPr="0038350C">
        <w:rPr>
          <w:noProof/>
          <w:sz w:val="24"/>
          <w:szCs w:val="24"/>
        </w:rPr>
        <w:drawing>
          <wp:inline distT="0" distB="0" distL="0" distR="0" wp14:anchorId="6165AD22" wp14:editId="14AFE7E4">
            <wp:extent cx="1053389" cy="34095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31" cy="35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50C">
        <w:rPr>
          <w:rFonts w:cs="Calibri"/>
          <w:color w:val="1F497D"/>
          <w:sz w:val="24"/>
          <w:szCs w:val="24"/>
          <w:lang w:val="en-GB"/>
        </w:rPr>
        <w:t xml:space="preserve">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80"/>
        <w:gridCol w:w="2525"/>
        <w:gridCol w:w="3171"/>
      </w:tblGrid>
      <w:tr w:rsidR="00184613" w:rsidRPr="000E1448" w14:paraId="7516D2C4" w14:textId="77777777" w:rsidTr="009B1186">
        <w:trPr>
          <w:jc w:val="center"/>
        </w:trPr>
        <w:tc>
          <w:tcPr>
            <w:tcW w:w="3380" w:type="dxa"/>
          </w:tcPr>
          <w:p w14:paraId="24F453B7" w14:textId="77777777" w:rsidR="00184613" w:rsidRPr="000E1448" w:rsidRDefault="00184613" w:rsidP="009B1186">
            <w:pPr>
              <w:pStyle w:val="Footer"/>
              <w:tabs>
                <w:tab w:val="left" w:pos="1620"/>
                <w:tab w:val="right" w:pos="6120"/>
                <w:tab w:val="left" w:pos="657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rPr>
                <w:sz w:val="21"/>
                <w:szCs w:val="21"/>
              </w:rPr>
            </w:pPr>
          </w:p>
        </w:tc>
        <w:tc>
          <w:tcPr>
            <w:tcW w:w="2525" w:type="dxa"/>
          </w:tcPr>
          <w:p w14:paraId="4C3C4AB4" w14:textId="77777777" w:rsidR="00184613" w:rsidRPr="000E1448" w:rsidRDefault="00184613" w:rsidP="009B1186">
            <w:pPr>
              <w:pStyle w:val="Footer"/>
              <w:tabs>
                <w:tab w:val="left" w:pos="1620"/>
                <w:tab w:val="right" w:pos="6120"/>
                <w:tab w:val="left" w:pos="657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3171" w:type="dxa"/>
          </w:tcPr>
          <w:p w14:paraId="400AB036" w14:textId="77777777" w:rsidR="00184613" w:rsidRPr="000E1448" w:rsidRDefault="00184613" w:rsidP="009B1186">
            <w:pPr>
              <w:pStyle w:val="Footer"/>
              <w:tabs>
                <w:tab w:val="left" w:pos="1620"/>
                <w:tab w:val="right" w:pos="6120"/>
                <w:tab w:val="left" w:pos="657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jc w:val="right"/>
              <w:rPr>
                <w:sz w:val="21"/>
                <w:szCs w:val="21"/>
              </w:rPr>
            </w:pPr>
          </w:p>
        </w:tc>
      </w:tr>
    </w:tbl>
    <w:p w14:paraId="07A0B087" w14:textId="77777777" w:rsidR="00184613" w:rsidRPr="000E1448" w:rsidRDefault="00184613" w:rsidP="009D6EA4">
      <w:pPr>
        <w:spacing w:after="0" w:line="20" w:lineRule="exact"/>
        <w:jc w:val="both"/>
        <w:rPr>
          <w:rFonts w:cs="Calibri"/>
          <w:color w:val="1F497D"/>
          <w:sz w:val="21"/>
          <w:szCs w:val="21"/>
          <w:lang w:val="en-GB"/>
        </w:rPr>
      </w:pPr>
    </w:p>
    <w:sectPr w:rsidR="00184613" w:rsidRPr="000E1448" w:rsidSect="004278BE">
      <w:headerReference w:type="default" r:id="rId10"/>
      <w:pgSz w:w="12240" w:h="15840"/>
      <w:pgMar w:top="1080" w:right="90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94421" w14:textId="77777777" w:rsidR="00816B89" w:rsidRDefault="00816B89" w:rsidP="00F118F4">
      <w:pPr>
        <w:spacing w:after="0" w:line="240" w:lineRule="auto"/>
      </w:pPr>
      <w:r>
        <w:separator/>
      </w:r>
    </w:p>
  </w:endnote>
  <w:endnote w:type="continuationSeparator" w:id="0">
    <w:p w14:paraId="1AEC7CA6" w14:textId="77777777" w:rsidR="00816B89" w:rsidRDefault="00816B89" w:rsidP="00F1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189BD" w14:textId="77777777" w:rsidR="00816B89" w:rsidRDefault="00816B89" w:rsidP="00F118F4">
      <w:pPr>
        <w:spacing w:after="0" w:line="240" w:lineRule="auto"/>
      </w:pPr>
      <w:r>
        <w:separator/>
      </w:r>
    </w:p>
  </w:footnote>
  <w:footnote w:type="continuationSeparator" w:id="0">
    <w:p w14:paraId="63A8024E" w14:textId="77777777" w:rsidR="00816B89" w:rsidRDefault="00816B89" w:rsidP="00F1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3018AD" w14:paraId="49D32CF2" w14:textId="77777777" w:rsidTr="009B1186">
      <w:tc>
        <w:tcPr>
          <w:tcW w:w="4788" w:type="dxa"/>
        </w:tcPr>
        <w:p w14:paraId="574B8DAF" w14:textId="77777777" w:rsidR="003018AD" w:rsidRDefault="003018AD" w:rsidP="009B1186">
          <w:pPr>
            <w:pStyle w:val="Header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0AC413CD" wp14:editId="1F386276">
                <wp:extent cx="2080260" cy="529225"/>
                <wp:effectExtent l="0" t="0" r="0" b="4445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CB full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204" cy="53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08874E4A" w14:textId="77777777" w:rsidR="003018AD" w:rsidRDefault="003018AD" w:rsidP="009B1186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51260B2E" wp14:editId="3B87B409">
                <wp:extent cx="307104" cy="629683"/>
                <wp:effectExtent l="0" t="0" r="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DP_Logo-Blue w TaglineBlue-EN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224" cy="629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70255E" w14:textId="77777777" w:rsidR="003018AD" w:rsidRDefault="003018AD" w:rsidP="00FD17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3BE6"/>
    <w:multiLevelType w:val="hybridMultilevel"/>
    <w:tmpl w:val="AC862098"/>
    <w:lvl w:ilvl="0" w:tplc="CB760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3B7A"/>
    <w:multiLevelType w:val="hybridMultilevel"/>
    <w:tmpl w:val="CBDE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24503"/>
    <w:multiLevelType w:val="hybridMultilevel"/>
    <w:tmpl w:val="9D54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6CC9"/>
    <w:multiLevelType w:val="hybridMultilevel"/>
    <w:tmpl w:val="6A42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B3A67"/>
    <w:multiLevelType w:val="hybridMultilevel"/>
    <w:tmpl w:val="772C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E6EAA"/>
    <w:multiLevelType w:val="hybridMultilevel"/>
    <w:tmpl w:val="CBE00754"/>
    <w:lvl w:ilvl="0" w:tplc="C23277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72A37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C0CB07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A04F1A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B0EFB2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AF8296F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F66018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65C4E64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9C4788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692C7A48"/>
    <w:multiLevelType w:val="hybridMultilevel"/>
    <w:tmpl w:val="C494F3AE"/>
    <w:lvl w:ilvl="0" w:tplc="BCD269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D245A"/>
    <w:multiLevelType w:val="hybridMultilevel"/>
    <w:tmpl w:val="9D6CB5C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3B4B4A"/>
    <w:multiLevelType w:val="hybridMultilevel"/>
    <w:tmpl w:val="346EB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04C96"/>
    <w:multiLevelType w:val="hybridMultilevel"/>
    <w:tmpl w:val="B4A4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A58C7"/>
    <w:multiLevelType w:val="hybridMultilevel"/>
    <w:tmpl w:val="E3D2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2C"/>
    <w:rsid w:val="0000074A"/>
    <w:rsid w:val="00010775"/>
    <w:rsid w:val="000158E1"/>
    <w:rsid w:val="00024BF5"/>
    <w:rsid w:val="000649BC"/>
    <w:rsid w:val="000979AE"/>
    <w:rsid w:val="000A151B"/>
    <w:rsid w:val="000B106C"/>
    <w:rsid w:val="000C1344"/>
    <w:rsid w:val="000C3984"/>
    <w:rsid w:val="000C6901"/>
    <w:rsid w:val="000C7A1B"/>
    <w:rsid w:val="000D6BB5"/>
    <w:rsid w:val="000D7970"/>
    <w:rsid w:val="000E1448"/>
    <w:rsid w:val="00100FB2"/>
    <w:rsid w:val="0010246F"/>
    <w:rsid w:val="001200C2"/>
    <w:rsid w:val="00127180"/>
    <w:rsid w:val="00135555"/>
    <w:rsid w:val="00141C62"/>
    <w:rsid w:val="001423C0"/>
    <w:rsid w:val="001612C9"/>
    <w:rsid w:val="00174789"/>
    <w:rsid w:val="00175C7B"/>
    <w:rsid w:val="00184613"/>
    <w:rsid w:val="0019069B"/>
    <w:rsid w:val="001D011C"/>
    <w:rsid w:val="001E2561"/>
    <w:rsid w:val="001F0484"/>
    <w:rsid w:val="00216412"/>
    <w:rsid w:val="002249B3"/>
    <w:rsid w:val="00230D81"/>
    <w:rsid w:val="0024027A"/>
    <w:rsid w:val="00253F9B"/>
    <w:rsid w:val="00267796"/>
    <w:rsid w:val="00290346"/>
    <w:rsid w:val="0029463D"/>
    <w:rsid w:val="002971AC"/>
    <w:rsid w:val="002E6C21"/>
    <w:rsid w:val="00300A22"/>
    <w:rsid w:val="003018AD"/>
    <w:rsid w:val="00315D51"/>
    <w:rsid w:val="003319B2"/>
    <w:rsid w:val="003321DB"/>
    <w:rsid w:val="003612A4"/>
    <w:rsid w:val="0038350C"/>
    <w:rsid w:val="00386AB6"/>
    <w:rsid w:val="003A41CD"/>
    <w:rsid w:val="003A6288"/>
    <w:rsid w:val="003E6D72"/>
    <w:rsid w:val="003F059C"/>
    <w:rsid w:val="003F2C9A"/>
    <w:rsid w:val="003F5017"/>
    <w:rsid w:val="00402FFA"/>
    <w:rsid w:val="004278BE"/>
    <w:rsid w:val="00461629"/>
    <w:rsid w:val="0047727C"/>
    <w:rsid w:val="004A2274"/>
    <w:rsid w:val="004B1BB5"/>
    <w:rsid w:val="004D1526"/>
    <w:rsid w:val="004D1E44"/>
    <w:rsid w:val="004E7EAC"/>
    <w:rsid w:val="004F6F58"/>
    <w:rsid w:val="00510A4E"/>
    <w:rsid w:val="00537435"/>
    <w:rsid w:val="00540D0C"/>
    <w:rsid w:val="00546E7F"/>
    <w:rsid w:val="0055427C"/>
    <w:rsid w:val="0058669C"/>
    <w:rsid w:val="00594051"/>
    <w:rsid w:val="0059587F"/>
    <w:rsid w:val="005A5A04"/>
    <w:rsid w:val="005B0451"/>
    <w:rsid w:val="005F09B4"/>
    <w:rsid w:val="005F5F75"/>
    <w:rsid w:val="0060743E"/>
    <w:rsid w:val="0062651D"/>
    <w:rsid w:val="006525CC"/>
    <w:rsid w:val="00674A23"/>
    <w:rsid w:val="006B19BD"/>
    <w:rsid w:val="006B2B48"/>
    <w:rsid w:val="006B36CC"/>
    <w:rsid w:val="006F24C5"/>
    <w:rsid w:val="00700934"/>
    <w:rsid w:val="00701914"/>
    <w:rsid w:val="0071123C"/>
    <w:rsid w:val="0072239A"/>
    <w:rsid w:val="00752A71"/>
    <w:rsid w:val="0075586E"/>
    <w:rsid w:val="00763321"/>
    <w:rsid w:val="007671A0"/>
    <w:rsid w:val="007703EA"/>
    <w:rsid w:val="007754C7"/>
    <w:rsid w:val="007A3F66"/>
    <w:rsid w:val="007C0C67"/>
    <w:rsid w:val="007D29B7"/>
    <w:rsid w:val="007D6649"/>
    <w:rsid w:val="007F3CF5"/>
    <w:rsid w:val="0080390B"/>
    <w:rsid w:val="00814288"/>
    <w:rsid w:val="00816B89"/>
    <w:rsid w:val="00840A72"/>
    <w:rsid w:val="008446C0"/>
    <w:rsid w:val="0088245C"/>
    <w:rsid w:val="008928F0"/>
    <w:rsid w:val="008A4F47"/>
    <w:rsid w:val="008B618D"/>
    <w:rsid w:val="008C272E"/>
    <w:rsid w:val="008D4788"/>
    <w:rsid w:val="008F6949"/>
    <w:rsid w:val="009B1186"/>
    <w:rsid w:val="009B4A78"/>
    <w:rsid w:val="009C265C"/>
    <w:rsid w:val="009D6EA4"/>
    <w:rsid w:val="009D6F58"/>
    <w:rsid w:val="009D7A36"/>
    <w:rsid w:val="00A01901"/>
    <w:rsid w:val="00A06A96"/>
    <w:rsid w:val="00A14298"/>
    <w:rsid w:val="00A24951"/>
    <w:rsid w:val="00A27132"/>
    <w:rsid w:val="00A3023B"/>
    <w:rsid w:val="00A3093E"/>
    <w:rsid w:val="00A77B44"/>
    <w:rsid w:val="00AD005A"/>
    <w:rsid w:val="00AD3E8B"/>
    <w:rsid w:val="00B15782"/>
    <w:rsid w:val="00B37DBC"/>
    <w:rsid w:val="00B40851"/>
    <w:rsid w:val="00B40D4E"/>
    <w:rsid w:val="00B51996"/>
    <w:rsid w:val="00B53FE4"/>
    <w:rsid w:val="00B60E8A"/>
    <w:rsid w:val="00B73FC3"/>
    <w:rsid w:val="00B85370"/>
    <w:rsid w:val="00BB73CD"/>
    <w:rsid w:val="00BC50B4"/>
    <w:rsid w:val="00BD2763"/>
    <w:rsid w:val="00BD3BF6"/>
    <w:rsid w:val="00BE7C8B"/>
    <w:rsid w:val="00BF71B0"/>
    <w:rsid w:val="00C53FAE"/>
    <w:rsid w:val="00C603B5"/>
    <w:rsid w:val="00C77B2C"/>
    <w:rsid w:val="00C96CEA"/>
    <w:rsid w:val="00CA76CA"/>
    <w:rsid w:val="00CB3860"/>
    <w:rsid w:val="00D70B96"/>
    <w:rsid w:val="00D90B03"/>
    <w:rsid w:val="00D9180E"/>
    <w:rsid w:val="00D97E9E"/>
    <w:rsid w:val="00DA2A54"/>
    <w:rsid w:val="00DE0795"/>
    <w:rsid w:val="00DF399B"/>
    <w:rsid w:val="00E1432A"/>
    <w:rsid w:val="00E20411"/>
    <w:rsid w:val="00E20A1B"/>
    <w:rsid w:val="00EB430D"/>
    <w:rsid w:val="00ED06D9"/>
    <w:rsid w:val="00EF226D"/>
    <w:rsid w:val="00F118F4"/>
    <w:rsid w:val="00F20385"/>
    <w:rsid w:val="00F262FB"/>
    <w:rsid w:val="00F3677D"/>
    <w:rsid w:val="00F44C1A"/>
    <w:rsid w:val="00FA1FBA"/>
    <w:rsid w:val="00FC52F7"/>
    <w:rsid w:val="00F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DF178"/>
  <w15:docId w15:val="{431962E1-AC2C-4D98-9A06-B9BE4BB6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2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C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7B2C"/>
    <w:pPr>
      <w:spacing w:after="0" w:line="240" w:lineRule="auto"/>
      <w:ind w:left="720"/>
    </w:pPr>
    <w:rPr>
      <w:rFonts w:ascii="Calibri" w:hAnsi="Calibri" w:cs="Calibri"/>
    </w:rPr>
  </w:style>
  <w:style w:type="table" w:customStyle="1" w:styleId="LightList-Accent12">
    <w:name w:val="Light List - Accent 12"/>
    <w:basedOn w:val="TableNormal"/>
    <w:uiPriority w:val="61"/>
    <w:rsid w:val="00C77B2C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istParagraphChar">
    <w:name w:val="List Paragraph Char"/>
    <w:link w:val="ListParagraph"/>
    <w:uiPriority w:val="34"/>
    <w:locked/>
    <w:rsid w:val="00C77B2C"/>
    <w:rPr>
      <w:rFonts w:ascii="Calibri" w:eastAsiaTheme="minorEastAsia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70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B9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B9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1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F4"/>
    <w:rPr>
      <w:rFonts w:eastAsiaTheme="minorEastAsia"/>
    </w:rPr>
  </w:style>
  <w:style w:type="table" w:styleId="TableGrid">
    <w:name w:val="Table Grid"/>
    <w:basedOn w:val="TableNormal"/>
    <w:uiPriority w:val="59"/>
    <w:rsid w:val="00FD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BUR text"/>
    <w:link w:val="NoSpacingChar"/>
    <w:uiPriority w:val="1"/>
    <w:qFormat/>
    <w:rsid w:val="00300A22"/>
    <w:pPr>
      <w:spacing w:after="0" w:line="240" w:lineRule="auto"/>
    </w:pPr>
  </w:style>
  <w:style w:type="character" w:customStyle="1" w:styleId="NoSpacingChar">
    <w:name w:val="No Spacing Char"/>
    <w:aliases w:val="BUR text Char"/>
    <w:link w:val="NoSpacing"/>
    <w:uiPriority w:val="1"/>
    <w:rsid w:val="00174789"/>
  </w:style>
  <w:style w:type="paragraph" w:styleId="NormalWeb">
    <w:name w:val="Normal (Web)"/>
    <w:basedOn w:val="Normal"/>
    <w:uiPriority w:val="99"/>
    <w:semiHidden/>
    <w:unhideWhenUsed/>
    <w:rsid w:val="000E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26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0C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Copy">
    <w:name w:val="Body Copy"/>
    <w:basedOn w:val="Normal"/>
    <w:qFormat/>
    <w:rsid w:val="00B85370"/>
    <w:pPr>
      <w:spacing w:after="0" w:line="240" w:lineRule="auto"/>
    </w:pPr>
    <w:rPr>
      <w:rFonts w:eastAsiaTheme="minorHAnsi"/>
      <w:spacing w:val="8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2017-12-28T16:00:00+00:00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1159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00065880</UndpProjectNo>
    <UndpDocStatus xmlns="1ed4137b-41b2-488b-8250-6d369ec27664">Final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GHA</TermName>
          <TermId xmlns="http://schemas.microsoft.com/office/infopath/2007/PartnerControls">1d2ea0de-5983-4ca5-a610-838eddc7a0d2</TermId>
        </TermInfo>
      </Terms>
    </gc6531b704974d528487414686b72f6f>
    <_dlc_DocId xmlns="f1161f5b-24a3-4c2d-bc81-44cb9325e8ee">ATLASPDC-4-75583</_dlc_DocId>
    <_dlc_DocIdUrl xmlns="f1161f5b-24a3-4c2d-bc81-44cb9325e8ee">
      <Url>https://info.undp.org/docs/pdc/_layouts/DocIdRedir.aspx?ID=ATLASPDC-4-75583</Url>
      <Description>ATLASPDC-4-75583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FEA705B-B7AC-4FA8-95DB-38DB8F2B4076}"/>
</file>

<file path=customXml/itemProps2.xml><?xml version="1.0" encoding="utf-8"?>
<ds:datastoreItem xmlns:ds="http://schemas.openxmlformats.org/officeDocument/2006/customXml" ds:itemID="{DC353075-C915-4614-87CC-1B855BFA6D91}"/>
</file>

<file path=customXml/itemProps3.xml><?xml version="1.0" encoding="utf-8"?>
<ds:datastoreItem xmlns:ds="http://schemas.openxmlformats.org/officeDocument/2006/customXml" ds:itemID="{1EC5EB49-421F-435E-B705-583362308A54}"/>
</file>

<file path=customXml/itemProps4.xml><?xml version="1.0" encoding="utf-8"?>
<ds:datastoreItem xmlns:ds="http://schemas.openxmlformats.org/officeDocument/2006/customXml" ds:itemID="{D84A49F5-3BD7-403A-85C3-923B1BB66ADB}"/>
</file>

<file path=customXml/itemProps5.xml><?xml version="1.0" encoding="utf-8"?>
<ds:datastoreItem xmlns:ds="http://schemas.openxmlformats.org/officeDocument/2006/customXml" ds:itemID="{6C2F2BBC-3A10-4656-9A85-5057F7AE8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Carman</dc:creator>
  <cp:lastModifiedBy>Paolo Dalla Stella</cp:lastModifiedBy>
  <cp:revision>2</cp:revision>
  <dcterms:created xsi:type="dcterms:W3CDTF">2016-04-20T15:07:00Z</dcterms:created>
  <dcterms:modified xsi:type="dcterms:W3CDTF">2016-04-20T15:07:00Z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1159;#GHA|1d2ea0de-5983-4ca5-a610-838eddc7a0d2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1112;#Progress Report|03c70d0e-c75e-4cfb-8288-e692640ede14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96ee8280-f196-4507-8ef9-b25ff9e269d5</vt:lpwstr>
  </property>
  <property fmtid="{D5CDD505-2E9C-101B-9397-08002B2CF9AE}" pid="14" name="URL">
    <vt:lpwstr/>
  </property>
  <property fmtid="{D5CDD505-2E9C-101B-9397-08002B2CF9AE}" pid="15" name="DocumentSetDescription">
    <vt:lpwstr/>
  </property>
  <property fmtid="{D5CDD505-2E9C-101B-9397-08002B2CF9AE}" pid="16" name="UnitTaxHTField0">
    <vt:lpwstr/>
  </property>
  <property fmtid="{D5CDD505-2E9C-101B-9397-08002B2CF9AE}" pid="17" name="Unit">
    <vt:lpwstr/>
  </property>
</Properties>
</file>